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CE1CB" w14:textId="77777777" w:rsidR="008A031E" w:rsidRPr="008A031E" w:rsidRDefault="008A031E" w:rsidP="00F56FE8">
      <w:pPr>
        <w:pStyle w:val="Overskrift1"/>
      </w:pPr>
      <w:bookmarkStart w:id="0" w:name="Overskrift"/>
      <w:bookmarkEnd w:id="0"/>
    </w:p>
    <w:p w14:paraId="09BF177E" w14:textId="77777777" w:rsidR="003960A9" w:rsidRPr="008A031E" w:rsidRDefault="00CB712B" w:rsidP="00F56FE8">
      <w:pPr>
        <w:pStyle w:val="Overskrift1"/>
      </w:pPr>
      <w:r w:rsidRPr="008A031E">
        <w:t xml:space="preserve">Oversigt over godkendte indeks </w:t>
      </w:r>
    </w:p>
    <w:p w14:paraId="02F5023C" w14:textId="77777777" w:rsidR="003960A9" w:rsidRPr="008A031E" w:rsidRDefault="003960A9" w:rsidP="005A4C97">
      <w:pPr>
        <w:rPr>
          <w:rFonts w:cs="Arial"/>
          <w:szCs w:val="21"/>
        </w:rPr>
      </w:pPr>
      <w:bookmarkStart w:id="1" w:name="Start"/>
      <w:bookmarkEnd w:id="1"/>
    </w:p>
    <w:p w14:paraId="0C6379E3" w14:textId="0FE10A2A" w:rsidR="00CB712B" w:rsidRPr="008A031E" w:rsidRDefault="00CB712B" w:rsidP="00CB712B">
      <w:pPr>
        <w:rPr>
          <w:rFonts w:cs="Arial"/>
          <w:szCs w:val="21"/>
        </w:rPr>
      </w:pPr>
      <w:r w:rsidRPr="008A031E">
        <w:rPr>
          <w:rFonts w:cs="Arial"/>
          <w:szCs w:val="21"/>
        </w:rPr>
        <w:t>I medfør af lov om investeringsforeninger m.v. § 1</w:t>
      </w:r>
      <w:r w:rsidR="009B5B75">
        <w:rPr>
          <w:rFonts w:cs="Arial"/>
          <w:szCs w:val="21"/>
        </w:rPr>
        <w:t>49</w:t>
      </w:r>
      <w:r w:rsidRPr="008A031E">
        <w:rPr>
          <w:rFonts w:cs="Arial"/>
          <w:szCs w:val="21"/>
        </w:rPr>
        <w:t>, stk. 2</w:t>
      </w:r>
      <w:r w:rsidR="009B5B75">
        <w:rPr>
          <w:rFonts w:cs="Arial"/>
          <w:szCs w:val="21"/>
        </w:rPr>
        <w:t>,</w:t>
      </w:r>
      <w:r w:rsidRPr="008A031E">
        <w:rPr>
          <w:rFonts w:cs="Arial"/>
          <w:szCs w:val="21"/>
        </w:rPr>
        <w:t xml:space="preserve"> har Finanstilsynet godkendt følgende indeks:</w:t>
      </w:r>
    </w:p>
    <w:p w14:paraId="5F47B4E2" w14:textId="77777777" w:rsidR="00F56FE8" w:rsidRPr="008A031E" w:rsidRDefault="00F56FE8" w:rsidP="005A4C97">
      <w:pPr>
        <w:rPr>
          <w:rFonts w:cs="Arial"/>
          <w:szCs w:val="21"/>
        </w:rPr>
      </w:pPr>
    </w:p>
    <w:p w14:paraId="5CF33482" w14:textId="77777777" w:rsidR="00CB712B" w:rsidRPr="008A031E" w:rsidRDefault="00CB712B" w:rsidP="00CB712B">
      <w:pPr>
        <w:rPr>
          <w:rFonts w:cs="Arial"/>
          <w:szCs w:val="21"/>
        </w:rPr>
      </w:pPr>
      <w:r w:rsidRPr="008A031E">
        <w:rPr>
          <w:rFonts w:cs="Arial"/>
          <w:szCs w:val="21"/>
        </w:rPr>
        <w:t>Fra den 2. september 2005:</w:t>
      </w:r>
    </w:p>
    <w:p w14:paraId="793237CA" w14:textId="77777777" w:rsidR="00CB712B" w:rsidRPr="008A031E" w:rsidRDefault="00CB712B" w:rsidP="00CB712B">
      <w:pPr>
        <w:pStyle w:val="Listeafsnit"/>
      </w:pPr>
      <w:r w:rsidRPr="008A031E">
        <w:t>S&amp;P</w:t>
      </w:r>
      <w:r w:rsidRPr="008A031E">
        <w:rPr>
          <w:spacing w:val="-5"/>
        </w:rPr>
        <w:t xml:space="preserve"> </w:t>
      </w:r>
      <w:r w:rsidRPr="008A031E">
        <w:t>500</w:t>
      </w:r>
    </w:p>
    <w:p w14:paraId="1693350D" w14:textId="77777777" w:rsidR="00CB712B" w:rsidRPr="008A031E" w:rsidRDefault="00CB712B" w:rsidP="00CB712B">
      <w:pPr>
        <w:pStyle w:val="Listeafsnit"/>
        <w:rPr>
          <w:rFonts w:eastAsia="Arial" w:cs="Arial"/>
        </w:rPr>
      </w:pPr>
      <w:r w:rsidRPr="008A031E">
        <w:t>FTSE</w:t>
      </w:r>
      <w:r w:rsidRPr="008A031E">
        <w:rPr>
          <w:spacing w:val="-1"/>
        </w:rPr>
        <w:t xml:space="preserve"> </w:t>
      </w:r>
      <w:r w:rsidRPr="008A031E">
        <w:t>100</w:t>
      </w:r>
    </w:p>
    <w:p w14:paraId="2866E028" w14:textId="77777777" w:rsidR="00CB712B" w:rsidRPr="008A031E" w:rsidRDefault="00CB712B" w:rsidP="00CB712B">
      <w:pPr>
        <w:pStyle w:val="Listeafsnit"/>
        <w:rPr>
          <w:rFonts w:eastAsia="Arial" w:cs="Arial"/>
        </w:rPr>
      </w:pPr>
      <w:r w:rsidRPr="008A031E">
        <w:t>DAX</w:t>
      </w:r>
    </w:p>
    <w:p w14:paraId="0DB22D5C" w14:textId="77777777" w:rsidR="00CB712B" w:rsidRPr="008A031E" w:rsidRDefault="00CB712B" w:rsidP="00CB712B">
      <w:pPr>
        <w:pStyle w:val="Listeafsnit"/>
        <w:rPr>
          <w:rFonts w:eastAsia="Arial" w:cs="Arial"/>
        </w:rPr>
      </w:pPr>
      <w:r w:rsidRPr="008A031E">
        <w:t>Dow Jones Euro STOXX 50</w:t>
      </w:r>
    </w:p>
    <w:p w14:paraId="0782D933" w14:textId="77777777" w:rsidR="00CB712B" w:rsidRPr="008A031E" w:rsidRDefault="00CB712B" w:rsidP="00CB712B">
      <w:pPr>
        <w:pStyle w:val="Listeafsnit"/>
        <w:rPr>
          <w:rFonts w:eastAsia="Arial" w:cs="Arial"/>
        </w:rPr>
      </w:pPr>
      <w:r w:rsidRPr="008A031E">
        <w:t>TOPIX (Tokyo Price Index)</w:t>
      </w:r>
    </w:p>
    <w:p w14:paraId="41D32489" w14:textId="77777777" w:rsidR="00CB712B" w:rsidRPr="008A031E" w:rsidRDefault="00CB712B" w:rsidP="00CB712B">
      <w:pPr>
        <w:pStyle w:val="Listeafsnit"/>
        <w:rPr>
          <w:rFonts w:eastAsia="Arial" w:cs="Arial"/>
        </w:rPr>
      </w:pPr>
      <w:r w:rsidRPr="008A031E">
        <w:t>OMXC20</w:t>
      </w:r>
    </w:p>
    <w:p w14:paraId="5C2D7FA6" w14:textId="77777777" w:rsidR="00CB712B" w:rsidRPr="008A031E" w:rsidRDefault="00CB712B" w:rsidP="00CB712B">
      <w:pPr>
        <w:rPr>
          <w:rFonts w:eastAsia="Arial" w:cs="Arial"/>
          <w:sz w:val="20"/>
          <w:szCs w:val="20"/>
        </w:rPr>
      </w:pPr>
    </w:p>
    <w:p w14:paraId="5886E203" w14:textId="77777777" w:rsidR="0004055A" w:rsidRPr="008A031E" w:rsidRDefault="0004055A" w:rsidP="0004055A">
      <w:pPr>
        <w:rPr>
          <w:rFonts w:eastAsia="Arial" w:cs="Arial"/>
          <w:sz w:val="20"/>
          <w:szCs w:val="20"/>
        </w:rPr>
      </w:pPr>
      <w:r w:rsidRPr="008A031E">
        <w:rPr>
          <w:rFonts w:eastAsia="Arial" w:cs="Arial"/>
          <w:sz w:val="20"/>
          <w:szCs w:val="20"/>
        </w:rPr>
        <w:t>Fra den 5. januar 2006:</w:t>
      </w:r>
    </w:p>
    <w:p w14:paraId="49997DB5" w14:textId="77777777" w:rsidR="0004055A" w:rsidRPr="008A031E" w:rsidRDefault="0004055A" w:rsidP="0004055A">
      <w:pPr>
        <w:pStyle w:val="Listeafsnit"/>
      </w:pPr>
      <w:r w:rsidRPr="008A031E">
        <w:t>MSCI Pan-Euro</w:t>
      </w:r>
    </w:p>
    <w:p w14:paraId="207862D2" w14:textId="77777777" w:rsidR="0004055A" w:rsidRPr="008A031E" w:rsidRDefault="0004055A" w:rsidP="0004055A">
      <w:pPr>
        <w:pStyle w:val="Listeafsnit"/>
      </w:pPr>
      <w:r w:rsidRPr="008A031E">
        <w:t>Dow Jones STOXX 50</w:t>
      </w:r>
    </w:p>
    <w:p w14:paraId="4573D281" w14:textId="77777777" w:rsidR="0004055A" w:rsidRPr="008A031E" w:rsidRDefault="0004055A" w:rsidP="0004055A">
      <w:pPr>
        <w:pStyle w:val="Listeafsnit"/>
      </w:pPr>
      <w:r w:rsidRPr="008A031E">
        <w:t>CAC 40</w:t>
      </w:r>
    </w:p>
    <w:p w14:paraId="075F6BE5" w14:textId="77777777" w:rsidR="0004055A" w:rsidRPr="008A031E" w:rsidRDefault="0004055A" w:rsidP="0004055A">
      <w:pPr>
        <w:pStyle w:val="Listeafsnit"/>
      </w:pPr>
      <w:r w:rsidRPr="008A031E">
        <w:t>S&amp;P/MJB</w:t>
      </w:r>
    </w:p>
    <w:p w14:paraId="72BAD92D" w14:textId="77777777" w:rsidR="0004055A" w:rsidRPr="008A031E" w:rsidRDefault="0004055A" w:rsidP="0004055A">
      <w:pPr>
        <w:pStyle w:val="Listeafsnit"/>
      </w:pPr>
      <w:r w:rsidRPr="008A031E">
        <w:t>IBEX 35</w:t>
      </w:r>
    </w:p>
    <w:p w14:paraId="052A7AE7" w14:textId="77777777" w:rsidR="0004055A" w:rsidRPr="008A031E" w:rsidRDefault="0004055A" w:rsidP="0004055A">
      <w:pPr>
        <w:pStyle w:val="Listeafsnit"/>
      </w:pPr>
      <w:r w:rsidRPr="008A031E">
        <w:t>Amsterdam Exchanges Index</w:t>
      </w:r>
    </w:p>
    <w:p w14:paraId="49B9A498" w14:textId="77777777" w:rsidR="0004055A" w:rsidRPr="008A031E" w:rsidRDefault="0004055A" w:rsidP="0004055A">
      <w:pPr>
        <w:pStyle w:val="Listeafsnit"/>
      </w:pPr>
      <w:r w:rsidRPr="008A031E">
        <w:t>OMXH25</w:t>
      </w:r>
    </w:p>
    <w:p w14:paraId="71EC294B" w14:textId="77777777" w:rsidR="0004055A" w:rsidRPr="008A031E" w:rsidRDefault="0004055A" w:rsidP="0004055A">
      <w:pPr>
        <w:pStyle w:val="Listeafsnit"/>
      </w:pPr>
      <w:r w:rsidRPr="008A031E">
        <w:t>Swiss Market Index (SMI)</w:t>
      </w:r>
    </w:p>
    <w:p w14:paraId="0BF9066E" w14:textId="77777777" w:rsidR="0004055A" w:rsidRPr="008A031E" w:rsidRDefault="0004055A" w:rsidP="0004055A">
      <w:pPr>
        <w:pStyle w:val="Listeafsnit"/>
      </w:pPr>
      <w:r w:rsidRPr="008A031E">
        <w:t>OBX Index</w:t>
      </w:r>
    </w:p>
    <w:p w14:paraId="6B7857E4" w14:textId="77777777" w:rsidR="0004055A" w:rsidRPr="008A031E" w:rsidRDefault="0004055A" w:rsidP="0004055A">
      <w:pPr>
        <w:pStyle w:val="Listeafsnit"/>
      </w:pPr>
      <w:r w:rsidRPr="008A031E">
        <w:t>OMXS30</w:t>
      </w:r>
    </w:p>
    <w:p w14:paraId="02D0ACEF" w14:textId="77777777" w:rsidR="0004055A" w:rsidRPr="008A031E" w:rsidRDefault="0004055A" w:rsidP="0004055A">
      <w:pPr>
        <w:pStyle w:val="Listeafsnit"/>
      </w:pPr>
      <w:r w:rsidRPr="008A031E">
        <w:t>S&amp;P MidCap 400</w:t>
      </w:r>
    </w:p>
    <w:p w14:paraId="1A86FDE8" w14:textId="77777777" w:rsidR="0004055A" w:rsidRPr="008A031E" w:rsidRDefault="0004055A" w:rsidP="0004055A">
      <w:pPr>
        <w:pStyle w:val="Listeafsnit"/>
      </w:pPr>
      <w:r w:rsidRPr="008A031E">
        <w:t>S&amp;P SmallCap 600</w:t>
      </w:r>
    </w:p>
    <w:p w14:paraId="47C75FC9" w14:textId="77777777" w:rsidR="0004055A" w:rsidRPr="008A031E" w:rsidRDefault="0004055A" w:rsidP="0004055A">
      <w:pPr>
        <w:pStyle w:val="Listeafsnit"/>
      </w:pPr>
      <w:r w:rsidRPr="008A031E">
        <w:t>S&amp;P/TSX 60</w:t>
      </w:r>
    </w:p>
    <w:p w14:paraId="46B27CD5" w14:textId="77777777" w:rsidR="0004055A" w:rsidRPr="008A031E" w:rsidRDefault="0004055A" w:rsidP="0004055A">
      <w:pPr>
        <w:pStyle w:val="Listeafsnit"/>
      </w:pPr>
      <w:r w:rsidRPr="008A031E">
        <w:t>S&amp;P/ASX 200</w:t>
      </w:r>
    </w:p>
    <w:p w14:paraId="486BD6EA" w14:textId="77777777" w:rsidR="0004055A" w:rsidRPr="008A031E" w:rsidRDefault="0004055A" w:rsidP="0004055A">
      <w:pPr>
        <w:pStyle w:val="Listeafsnit"/>
      </w:pPr>
      <w:r w:rsidRPr="008A031E">
        <w:t>Hang Seng</w:t>
      </w:r>
    </w:p>
    <w:p w14:paraId="6C20992F" w14:textId="77777777" w:rsidR="0004055A" w:rsidRPr="008A031E" w:rsidRDefault="0004055A" w:rsidP="0004055A"/>
    <w:p w14:paraId="39A19989" w14:textId="77777777" w:rsidR="0004055A" w:rsidRPr="008A031E" w:rsidRDefault="0004055A" w:rsidP="0004055A">
      <w:r w:rsidRPr="008A031E">
        <w:lastRenderedPageBreak/>
        <w:t>Fra den 16. januar 2008:</w:t>
      </w:r>
    </w:p>
    <w:p w14:paraId="078BE12F" w14:textId="77777777" w:rsidR="0004055A" w:rsidRPr="008A031E" w:rsidRDefault="0004055A" w:rsidP="0004055A">
      <w:pPr>
        <w:pStyle w:val="Listeafsnit"/>
      </w:pPr>
      <w:r w:rsidRPr="008A031E">
        <w:t>MSCI Japan Value</w:t>
      </w:r>
    </w:p>
    <w:p w14:paraId="1C4A7555" w14:textId="77777777" w:rsidR="0004055A" w:rsidRPr="008A031E" w:rsidRDefault="0004055A" w:rsidP="0004055A"/>
    <w:p w14:paraId="6F840CA0" w14:textId="77777777" w:rsidR="0004055A" w:rsidRPr="008A031E" w:rsidRDefault="0004055A" w:rsidP="0004055A">
      <w:r w:rsidRPr="008A031E">
        <w:t>Fra den 24. november 2008:</w:t>
      </w:r>
    </w:p>
    <w:p w14:paraId="37E552A8" w14:textId="77777777" w:rsidR="0004055A" w:rsidRPr="008A031E" w:rsidRDefault="0004055A" w:rsidP="0004055A">
      <w:pPr>
        <w:pStyle w:val="Listeafsnit"/>
      </w:pPr>
      <w:r w:rsidRPr="008A031E">
        <w:t>Nikkei 225</w:t>
      </w:r>
    </w:p>
    <w:p w14:paraId="73A0CCAC" w14:textId="77777777" w:rsidR="0004055A" w:rsidRPr="008A031E" w:rsidRDefault="0004055A" w:rsidP="0004055A"/>
    <w:p w14:paraId="7AD8D3EC" w14:textId="77777777" w:rsidR="0004055A" w:rsidRPr="008A031E" w:rsidRDefault="0004055A" w:rsidP="0004055A">
      <w:r w:rsidRPr="008A031E">
        <w:t>Fra den 29. juni 2009:</w:t>
      </w:r>
    </w:p>
    <w:p w14:paraId="6B47053C" w14:textId="77777777" w:rsidR="0004055A" w:rsidRPr="008A031E" w:rsidRDefault="0004055A" w:rsidP="0004055A">
      <w:pPr>
        <w:pStyle w:val="Listeafsnit"/>
      </w:pPr>
      <w:r w:rsidRPr="008A031E">
        <w:t>MSCI US Growth Index</w:t>
      </w:r>
    </w:p>
    <w:p w14:paraId="1EA0BC6B" w14:textId="77777777" w:rsidR="0004055A" w:rsidRPr="008A031E" w:rsidRDefault="0004055A" w:rsidP="0004055A">
      <w:pPr>
        <w:pStyle w:val="Listeafsnit"/>
      </w:pPr>
      <w:r w:rsidRPr="008A031E">
        <w:t>MSCI US Value Index</w:t>
      </w:r>
    </w:p>
    <w:p w14:paraId="176924D3" w14:textId="77777777" w:rsidR="0004055A" w:rsidRPr="008A031E" w:rsidRDefault="0004055A" w:rsidP="0004055A">
      <w:pPr>
        <w:pStyle w:val="Listeafsnit"/>
      </w:pPr>
      <w:r w:rsidRPr="008A031E">
        <w:t>MSCI US Small Cap Index</w:t>
      </w:r>
    </w:p>
    <w:p w14:paraId="37B65EDC" w14:textId="77777777" w:rsidR="0004055A" w:rsidRPr="008A031E" w:rsidRDefault="0004055A" w:rsidP="0004055A">
      <w:pPr>
        <w:pStyle w:val="Listeafsnit"/>
      </w:pPr>
      <w:r w:rsidRPr="008A031E">
        <w:t>MSCI Europe Growth Index</w:t>
      </w:r>
    </w:p>
    <w:p w14:paraId="6A61FE34" w14:textId="77777777" w:rsidR="0004055A" w:rsidRPr="008A031E" w:rsidRDefault="0004055A" w:rsidP="0004055A">
      <w:pPr>
        <w:pStyle w:val="Listeafsnit"/>
      </w:pPr>
      <w:r w:rsidRPr="008A031E">
        <w:t>MSCI Europe Value Index</w:t>
      </w:r>
    </w:p>
    <w:p w14:paraId="4C61FA64" w14:textId="77777777" w:rsidR="0004055A" w:rsidRPr="008A031E" w:rsidRDefault="0004055A" w:rsidP="0004055A">
      <w:pPr>
        <w:pStyle w:val="Listeafsnit"/>
      </w:pPr>
      <w:r w:rsidRPr="008A031E">
        <w:t>MSCI Europe Small Cap Index</w:t>
      </w:r>
    </w:p>
    <w:p w14:paraId="65CF9E93" w14:textId="77777777" w:rsidR="0004055A" w:rsidRPr="008A031E" w:rsidRDefault="0004055A" w:rsidP="0004055A">
      <w:pPr>
        <w:pStyle w:val="Listeafsnit"/>
      </w:pPr>
      <w:r w:rsidRPr="008A031E">
        <w:t>MSCI Japan Growth Index</w:t>
      </w:r>
    </w:p>
    <w:p w14:paraId="69035BD8" w14:textId="77777777" w:rsidR="0004055A" w:rsidRPr="008A031E" w:rsidRDefault="0004055A" w:rsidP="0004055A">
      <w:pPr>
        <w:pStyle w:val="Listeafsnit"/>
      </w:pPr>
      <w:r w:rsidRPr="008A031E">
        <w:t>MSCI Japan Small Cap Index</w:t>
      </w:r>
    </w:p>
    <w:p w14:paraId="40E763A2" w14:textId="77777777" w:rsidR="0004055A" w:rsidRPr="008A031E" w:rsidRDefault="0004055A" w:rsidP="0004055A">
      <w:pPr>
        <w:pStyle w:val="Listeafsnit"/>
      </w:pPr>
      <w:r w:rsidRPr="008A031E">
        <w:t>World Index Hedged</w:t>
      </w:r>
    </w:p>
    <w:p w14:paraId="07E6027D" w14:textId="77777777" w:rsidR="0004055A" w:rsidRPr="008A031E" w:rsidRDefault="0004055A" w:rsidP="0004055A">
      <w:pPr>
        <w:pStyle w:val="Listeafsnit"/>
      </w:pPr>
      <w:r w:rsidRPr="008A031E">
        <w:t>Dow Jones Sustainability World Index</w:t>
      </w:r>
    </w:p>
    <w:p w14:paraId="1DFA3793" w14:textId="77777777" w:rsidR="00453B65" w:rsidRDefault="00453B65" w:rsidP="0004055A"/>
    <w:p w14:paraId="2332C4CA" w14:textId="77777777" w:rsidR="00453B65" w:rsidRPr="00453B65" w:rsidRDefault="00453B65" w:rsidP="00453B65">
      <w:pPr>
        <w:rPr>
          <w:lang w:val="en-US"/>
        </w:rPr>
      </w:pPr>
      <w:r w:rsidRPr="00453B65">
        <w:rPr>
          <w:lang w:val="en-US"/>
        </w:rPr>
        <w:t>Fra den 10.</w:t>
      </w:r>
      <w:r>
        <w:rPr>
          <w:lang w:val="en-US"/>
        </w:rPr>
        <w:t xml:space="preserve"> december</w:t>
      </w:r>
      <w:r w:rsidRPr="00453B65">
        <w:rPr>
          <w:lang w:val="en-US"/>
        </w:rPr>
        <w:t xml:space="preserve"> 2009:</w:t>
      </w:r>
    </w:p>
    <w:p w14:paraId="6DB450AC" w14:textId="77777777" w:rsidR="00453B65" w:rsidRPr="00453B65" w:rsidRDefault="002B6304" w:rsidP="00453B65">
      <w:pPr>
        <w:pStyle w:val="Listeafsnit"/>
        <w:rPr>
          <w:lang w:val="en-US"/>
        </w:rPr>
      </w:pPr>
      <w:r>
        <w:rPr>
          <w:lang w:val="en-US"/>
        </w:rPr>
        <w:t>Bloomberg</w:t>
      </w:r>
      <w:r w:rsidR="00453B65">
        <w:rPr>
          <w:lang w:val="en-US"/>
        </w:rPr>
        <w:t xml:space="preserve"> Global Aggregate Bond Index</w:t>
      </w:r>
    </w:p>
    <w:p w14:paraId="3987C7C7" w14:textId="77777777" w:rsidR="00453B65" w:rsidRPr="002B6304" w:rsidRDefault="002B6304" w:rsidP="002B6304">
      <w:pPr>
        <w:pStyle w:val="Listeafsnit"/>
        <w:rPr>
          <w:lang w:val="en-US"/>
        </w:rPr>
      </w:pPr>
      <w:r>
        <w:rPr>
          <w:lang w:val="en-US"/>
        </w:rPr>
        <w:t>Bloomberg</w:t>
      </w:r>
      <w:r w:rsidR="00453B65" w:rsidRPr="002B6304">
        <w:rPr>
          <w:lang w:val="en-US"/>
        </w:rPr>
        <w:t xml:space="preserve"> Global Emerging Market Index</w:t>
      </w:r>
    </w:p>
    <w:p w14:paraId="2907E959" w14:textId="77777777" w:rsidR="00453B65" w:rsidRPr="00453B65" w:rsidRDefault="002B6304" w:rsidP="00453B65">
      <w:pPr>
        <w:pStyle w:val="Listeafsnit"/>
        <w:rPr>
          <w:lang w:val="en-US"/>
        </w:rPr>
      </w:pPr>
      <w:r>
        <w:rPr>
          <w:lang w:val="en-US"/>
        </w:rPr>
        <w:t>Bloomberg</w:t>
      </w:r>
      <w:r w:rsidR="00453B65">
        <w:rPr>
          <w:lang w:val="en-US"/>
        </w:rPr>
        <w:t xml:space="preserve"> Global High-Yield Index</w:t>
      </w:r>
    </w:p>
    <w:p w14:paraId="2F8FBCD2" w14:textId="77777777" w:rsidR="00453B65" w:rsidRPr="00453B65" w:rsidRDefault="00453B65" w:rsidP="0004055A">
      <w:pPr>
        <w:rPr>
          <w:lang w:val="en-US"/>
        </w:rPr>
      </w:pPr>
    </w:p>
    <w:p w14:paraId="384B94B0" w14:textId="77777777" w:rsidR="0004055A" w:rsidRPr="008A031E" w:rsidRDefault="0004055A" w:rsidP="0004055A">
      <w:r w:rsidRPr="008A031E">
        <w:t xml:space="preserve">Fra den 28. maj 2010: </w:t>
      </w:r>
    </w:p>
    <w:p w14:paraId="4693F9F5" w14:textId="77777777" w:rsidR="0004055A" w:rsidRPr="008A031E" w:rsidRDefault="0004055A" w:rsidP="0004055A">
      <w:pPr>
        <w:pStyle w:val="Listeafsnit"/>
      </w:pPr>
      <w:r w:rsidRPr="008A031E">
        <w:t>MSCI World Minimum Volatility Index</w:t>
      </w:r>
    </w:p>
    <w:p w14:paraId="35E8F390" w14:textId="77777777" w:rsidR="0004055A" w:rsidRPr="008A031E" w:rsidRDefault="0004055A" w:rsidP="0004055A"/>
    <w:p w14:paraId="44D4A0B2" w14:textId="77777777" w:rsidR="0004055A" w:rsidRPr="008A031E" w:rsidRDefault="0004055A" w:rsidP="0004055A">
      <w:r w:rsidRPr="008A031E">
        <w:t>Fra den 13. juni 2010:</w:t>
      </w:r>
    </w:p>
    <w:p w14:paraId="2C25AE26" w14:textId="77777777" w:rsidR="0004055A" w:rsidRPr="00453B65" w:rsidRDefault="0004055A" w:rsidP="0004055A">
      <w:pPr>
        <w:pStyle w:val="Listeafsnit"/>
        <w:rPr>
          <w:lang w:val="en-US"/>
        </w:rPr>
      </w:pPr>
      <w:r w:rsidRPr="00453B65">
        <w:rPr>
          <w:lang w:val="en-US"/>
        </w:rPr>
        <w:t>J.P. Morgan GBI-EM Global Diversified Index</w:t>
      </w:r>
    </w:p>
    <w:p w14:paraId="3C96A758" w14:textId="77777777" w:rsidR="0004055A" w:rsidRPr="00453B65" w:rsidRDefault="0004055A" w:rsidP="00CB712B">
      <w:pPr>
        <w:rPr>
          <w:rFonts w:eastAsia="Arial" w:cs="Arial"/>
          <w:sz w:val="20"/>
          <w:szCs w:val="20"/>
          <w:lang w:val="en-US"/>
        </w:rPr>
      </w:pPr>
    </w:p>
    <w:p w14:paraId="7A9EB601" w14:textId="77777777" w:rsidR="00A77412" w:rsidRPr="008A031E" w:rsidRDefault="00A77412" w:rsidP="00CB712B">
      <w:pPr>
        <w:rPr>
          <w:rFonts w:eastAsia="Arial" w:cs="Arial"/>
          <w:sz w:val="20"/>
          <w:szCs w:val="20"/>
        </w:rPr>
      </w:pPr>
      <w:r w:rsidRPr="008A031E">
        <w:rPr>
          <w:rFonts w:eastAsia="Arial" w:cs="Arial"/>
          <w:sz w:val="20"/>
          <w:szCs w:val="20"/>
        </w:rPr>
        <w:t>Fra den 31. maj 2012:</w:t>
      </w:r>
    </w:p>
    <w:p w14:paraId="35B938CE" w14:textId="77777777" w:rsidR="00A77412" w:rsidRPr="008A031E" w:rsidRDefault="00A77412" w:rsidP="00A77412">
      <w:pPr>
        <w:pStyle w:val="Listeafsnit"/>
      </w:pPr>
      <w:r w:rsidRPr="008A031E">
        <w:t>OMX Copenhagen 20 CAP</w:t>
      </w:r>
    </w:p>
    <w:p w14:paraId="1DC4F4CE" w14:textId="77777777" w:rsidR="00A77412" w:rsidRPr="008A031E" w:rsidRDefault="00A77412" w:rsidP="00A77412"/>
    <w:p w14:paraId="27F03EA1" w14:textId="77777777" w:rsidR="0004055A" w:rsidRPr="008A031E" w:rsidRDefault="0004055A" w:rsidP="00CB712B">
      <w:pPr>
        <w:rPr>
          <w:rFonts w:eastAsia="Arial" w:cs="Arial"/>
          <w:sz w:val="20"/>
          <w:szCs w:val="20"/>
        </w:rPr>
      </w:pPr>
      <w:r w:rsidRPr="008A031E">
        <w:rPr>
          <w:rFonts w:eastAsia="Arial" w:cs="Arial"/>
          <w:sz w:val="20"/>
          <w:szCs w:val="20"/>
        </w:rPr>
        <w:t>Fra den 11. oktober 2016:</w:t>
      </w:r>
    </w:p>
    <w:p w14:paraId="469F7E61" w14:textId="77777777" w:rsidR="00A77412" w:rsidRPr="00453B65" w:rsidRDefault="00A77412" w:rsidP="00A77412">
      <w:pPr>
        <w:pStyle w:val="Listeafsnit"/>
        <w:rPr>
          <w:lang w:val="en-US"/>
        </w:rPr>
      </w:pPr>
      <w:r w:rsidRPr="00453B65">
        <w:rPr>
          <w:lang w:val="en-US"/>
        </w:rPr>
        <w:t>Morgan Stanly Capital International (MSCI) World Telecommunication Services Index</w:t>
      </w:r>
    </w:p>
    <w:p w14:paraId="6FC02B8C" w14:textId="77777777" w:rsidR="00A77412" w:rsidRPr="00453B65" w:rsidRDefault="00A77412" w:rsidP="00A77412">
      <w:pPr>
        <w:pStyle w:val="Listeafsnit"/>
        <w:rPr>
          <w:lang w:val="en-US"/>
        </w:rPr>
      </w:pPr>
      <w:r w:rsidRPr="00453B65">
        <w:rPr>
          <w:lang w:val="en-US"/>
        </w:rPr>
        <w:t>Morgan Stanly Capital International (MSCI) World Energy Index</w:t>
      </w:r>
    </w:p>
    <w:p w14:paraId="3A5391AC" w14:textId="77777777" w:rsidR="0004055A" w:rsidRPr="00453B65" w:rsidRDefault="00A77412" w:rsidP="00A77412">
      <w:pPr>
        <w:pStyle w:val="Listeafsnit"/>
        <w:rPr>
          <w:lang w:val="en-US"/>
        </w:rPr>
      </w:pPr>
      <w:r w:rsidRPr="00453B65">
        <w:rPr>
          <w:lang w:val="en-US"/>
        </w:rPr>
        <w:t>Morgan Stanly Capital International (MSCI) World Information.</w:t>
      </w:r>
    </w:p>
    <w:p w14:paraId="3308380B" w14:textId="77777777" w:rsidR="00A77412" w:rsidRPr="00453B65" w:rsidRDefault="00A77412" w:rsidP="00A77412">
      <w:pPr>
        <w:rPr>
          <w:lang w:val="en-US"/>
        </w:rPr>
      </w:pPr>
    </w:p>
    <w:p w14:paraId="5D5ADF8D" w14:textId="77777777" w:rsidR="00A77412" w:rsidRPr="008A031E" w:rsidRDefault="00A77412" w:rsidP="00A77412">
      <w:r w:rsidRPr="008A031E">
        <w:t>Fra den 31. maj 2017:</w:t>
      </w:r>
    </w:p>
    <w:p w14:paraId="023F1119" w14:textId="77777777" w:rsidR="00A77412" w:rsidRPr="008A031E" w:rsidRDefault="00A77412" w:rsidP="00A77412">
      <w:pPr>
        <w:pStyle w:val="Listeafsnit"/>
      </w:pPr>
      <w:r w:rsidRPr="008A031E">
        <w:t>Nasdaqs OMX C25</w:t>
      </w:r>
    </w:p>
    <w:p w14:paraId="487F9CA3" w14:textId="77777777" w:rsidR="00A77412" w:rsidRPr="008A031E" w:rsidRDefault="00A77412" w:rsidP="00A77412"/>
    <w:p w14:paraId="62A8E7AA" w14:textId="77777777" w:rsidR="00A77412" w:rsidRPr="008A031E" w:rsidRDefault="00A77412" w:rsidP="00A77412">
      <w:r w:rsidRPr="008A031E">
        <w:t>Fra den 7. juni 2019:</w:t>
      </w:r>
    </w:p>
    <w:p w14:paraId="04CC5C6C" w14:textId="77777777" w:rsidR="00A77412" w:rsidRPr="00453B65" w:rsidRDefault="00A77412" w:rsidP="00A77412">
      <w:pPr>
        <w:pStyle w:val="Listeafsnit"/>
        <w:rPr>
          <w:lang w:val="en-US"/>
        </w:rPr>
      </w:pPr>
      <w:r w:rsidRPr="00453B65">
        <w:rPr>
          <w:lang w:val="en-US"/>
        </w:rPr>
        <w:t>Dow Jones Sustainability World ex. Alcohol, Gambling, Tobacco, Armaments &amp; Firearms and Adult Entertainment</w:t>
      </w:r>
    </w:p>
    <w:p w14:paraId="2F0251C9" w14:textId="77777777" w:rsidR="00A77412" w:rsidRPr="00453B65" w:rsidRDefault="00A77412" w:rsidP="00A77412">
      <w:pPr>
        <w:rPr>
          <w:lang w:val="en-US"/>
        </w:rPr>
      </w:pPr>
    </w:p>
    <w:p w14:paraId="0708487E" w14:textId="77777777" w:rsidR="00A77412" w:rsidRPr="008A031E" w:rsidRDefault="00A77412" w:rsidP="00A77412">
      <w:r w:rsidRPr="008A031E">
        <w:t>Fra den 30. oktober 2019:</w:t>
      </w:r>
    </w:p>
    <w:p w14:paraId="63D1AD4A" w14:textId="77777777" w:rsidR="00A77412" w:rsidRPr="00453B65" w:rsidRDefault="00A77412" w:rsidP="00A77412">
      <w:pPr>
        <w:pStyle w:val="Listeafsnit"/>
        <w:rPr>
          <w:lang w:val="en-US"/>
        </w:rPr>
      </w:pPr>
      <w:r w:rsidRPr="00453B65">
        <w:rPr>
          <w:lang w:val="en-US"/>
        </w:rPr>
        <w:t>Dow Jones Sustainability World ex. Alcohol, Tobacco, Gambling, Armaments &amp; Firearms, Adult Entertainment, and Energy Index</w:t>
      </w:r>
    </w:p>
    <w:p w14:paraId="7DF1CD77" w14:textId="77777777" w:rsidR="0004055A" w:rsidRPr="00453B65" w:rsidRDefault="0004055A" w:rsidP="00CB712B">
      <w:pPr>
        <w:rPr>
          <w:rFonts w:eastAsia="Arial" w:cs="Arial"/>
          <w:sz w:val="20"/>
          <w:szCs w:val="20"/>
          <w:lang w:val="en-US"/>
        </w:rPr>
      </w:pPr>
    </w:p>
    <w:p w14:paraId="4064496A" w14:textId="77777777" w:rsidR="005B1B1A" w:rsidRPr="008A031E" w:rsidRDefault="005B1B1A" w:rsidP="005B1B1A">
      <w:pPr>
        <w:rPr>
          <w:rFonts w:cs="Arial"/>
          <w:szCs w:val="21"/>
        </w:rPr>
      </w:pPr>
      <w:r w:rsidRPr="008A031E">
        <w:rPr>
          <w:rFonts w:cs="Arial"/>
          <w:szCs w:val="21"/>
        </w:rPr>
        <w:t>Fra den 28. januar 2021:</w:t>
      </w:r>
      <w:r w:rsidRPr="008A031E">
        <w:t xml:space="preserve"> </w:t>
      </w:r>
    </w:p>
    <w:p w14:paraId="626132A9" w14:textId="77777777" w:rsidR="005B1B1A" w:rsidRPr="00453B65" w:rsidRDefault="005B1B1A" w:rsidP="005B1B1A">
      <w:pPr>
        <w:pStyle w:val="Listeafsnit"/>
        <w:rPr>
          <w:lang w:val="en-US"/>
        </w:rPr>
      </w:pPr>
      <w:r w:rsidRPr="00453B65">
        <w:rPr>
          <w:lang w:val="en-US"/>
        </w:rPr>
        <w:t xml:space="preserve">MSCI USA ESG Leaders Select Sustainability  </w:t>
      </w:r>
    </w:p>
    <w:p w14:paraId="45E15E5A" w14:textId="77777777" w:rsidR="005B1B1A" w:rsidRPr="00453B65" w:rsidRDefault="005B1B1A" w:rsidP="005B1B1A">
      <w:pPr>
        <w:pStyle w:val="Listeafsnit"/>
        <w:rPr>
          <w:lang w:val="en-US"/>
        </w:rPr>
      </w:pPr>
      <w:r w:rsidRPr="00453B65">
        <w:rPr>
          <w:lang w:val="en-US"/>
        </w:rPr>
        <w:t xml:space="preserve">MSCI ACWI ESG Leaders Select Sustainability </w:t>
      </w:r>
    </w:p>
    <w:p w14:paraId="71ED7E2E" w14:textId="77777777" w:rsidR="005B1B1A" w:rsidRPr="00453B65" w:rsidRDefault="005B1B1A" w:rsidP="005B1B1A">
      <w:pPr>
        <w:rPr>
          <w:lang w:val="en-US"/>
        </w:rPr>
      </w:pPr>
    </w:p>
    <w:p w14:paraId="3F0EA299" w14:textId="77777777" w:rsidR="005B1B1A" w:rsidRPr="008A031E" w:rsidRDefault="005B1B1A" w:rsidP="005B1B1A">
      <w:r w:rsidRPr="008A031E">
        <w:t xml:space="preserve">Fra den 30. </w:t>
      </w:r>
      <w:r w:rsidR="008A031E" w:rsidRPr="008A031E">
        <w:t>m</w:t>
      </w:r>
      <w:r w:rsidRPr="008A031E">
        <w:t>arts 2022:</w:t>
      </w:r>
    </w:p>
    <w:p w14:paraId="2F809309" w14:textId="77777777" w:rsidR="005B1B1A" w:rsidRDefault="005B1B1A" w:rsidP="005B1B1A">
      <w:pPr>
        <w:pStyle w:val="Listeafsnit"/>
      </w:pPr>
      <w:r w:rsidRPr="008A031E">
        <w:t>Morningstar Global Markets Sustainability Leaders</w:t>
      </w:r>
    </w:p>
    <w:p w14:paraId="729596BC" w14:textId="77777777" w:rsidR="00845C75" w:rsidRDefault="00845C75" w:rsidP="00845C75"/>
    <w:p w14:paraId="6FC49BA9" w14:textId="77777777" w:rsidR="00845C75" w:rsidRPr="008A031E" w:rsidRDefault="00845C75" w:rsidP="00845C75">
      <w:r w:rsidRPr="008A031E">
        <w:t>Fra den 3</w:t>
      </w:r>
      <w:r>
        <w:t>1. maj 2024</w:t>
      </w:r>
      <w:r w:rsidRPr="008A031E">
        <w:t>:</w:t>
      </w:r>
    </w:p>
    <w:p w14:paraId="64949BDA" w14:textId="77777777" w:rsidR="00845C75" w:rsidRDefault="00845C75" w:rsidP="00845C75">
      <w:pPr>
        <w:pStyle w:val="Listeafsnit"/>
      </w:pPr>
      <w:r>
        <w:t>MSCI Germany Index</w:t>
      </w:r>
    </w:p>
    <w:p w14:paraId="342BE4F8" w14:textId="77777777" w:rsidR="00845C75" w:rsidRPr="008A031E" w:rsidRDefault="00845C75" w:rsidP="00845C75">
      <w:pPr>
        <w:pStyle w:val="Listeafsnit"/>
        <w:numPr>
          <w:ilvl w:val="0"/>
          <w:numId w:val="0"/>
        </w:numPr>
        <w:ind w:left="720"/>
      </w:pPr>
    </w:p>
    <w:p w14:paraId="12FBD1B8" w14:textId="77777777" w:rsidR="005B1B1A" w:rsidRPr="008A031E" w:rsidRDefault="005B1B1A" w:rsidP="005B1B1A"/>
    <w:p w14:paraId="61A9283A" w14:textId="77777777" w:rsidR="00380858" w:rsidRPr="008A031E" w:rsidRDefault="00380858" w:rsidP="005A4C97">
      <w:pPr>
        <w:rPr>
          <w:rFonts w:cs="Arial"/>
          <w:szCs w:val="21"/>
        </w:rPr>
      </w:pPr>
    </w:p>
    <w:sectPr w:rsidR="00380858" w:rsidRPr="008A031E" w:rsidSect="00EF0187">
      <w:headerReference w:type="default" r:id="rId8"/>
      <w:footerReference w:type="default" r:id="rId9"/>
      <w:pgSz w:w="11906" w:h="16838"/>
      <w:pgMar w:top="1418" w:right="1134" w:bottom="2127" w:left="1134" w:header="284" w:footer="9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69466" w14:textId="77777777" w:rsidR="009B5B75" w:rsidRDefault="009B5B75" w:rsidP="00AC2FF1">
      <w:pPr>
        <w:spacing w:line="240" w:lineRule="auto"/>
      </w:pPr>
      <w:r>
        <w:separator/>
      </w:r>
    </w:p>
  </w:endnote>
  <w:endnote w:type="continuationSeparator" w:id="0">
    <w:p w14:paraId="4C8E60EA" w14:textId="77777777" w:rsidR="009B5B75" w:rsidRDefault="009B5B75" w:rsidP="00AC2F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B6C34" w14:textId="77777777" w:rsidR="005448E2" w:rsidRDefault="005448E2">
    <w:pPr>
      <w:pStyle w:val="Sidefod"/>
    </w:pPr>
    <w:r>
      <w:rPr>
        <w:noProof/>
        <w:lang w:eastAsia="da-DK"/>
      </w:rPr>
      <w:drawing>
        <wp:inline distT="0" distB="0" distL="0" distR="0" wp14:anchorId="4EAF4FAA" wp14:editId="36900EB1">
          <wp:extent cx="962025" cy="333375"/>
          <wp:effectExtent l="19050" t="0" r="9525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  <w:t xml:space="preserve">   </w:t>
    </w:r>
    <w:r w:rsidRPr="00AA5453">
      <w:rPr>
        <w:sz w:val="18"/>
        <w:szCs w:val="18"/>
      </w:rPr>
      <w:t>Finanstilsynet</w:t>
    </w:r>
    <w:r>
      <w:rPr>
        <w:sz w:val="18"/>
        <w:szCs w:val="18"/>
      </w:rPr>
      <w:t xml:space="preserve"> – </w:t>
    </w:r>
    <w:r w:rsidR="00266FAA">
      <w:rPr>
        <w:sz w:val="18"/>
        <w:szCs w:val="18"/>
      </w:rPr>
      <w:t>Strandgade</w:t>
    </w:r>
    <w:r>
      <w:rPr>
        <w:sz w:val="18"/>
        <w:szCs w:val="18"/>
      </w:rPr>
      <w:t xml:space="preserve"> </w:t>
    </w:r>
    <w:r w:rsidR="00266FAA">
      <w:rPr>
        <w:sz w:val="18"/>
        <w:szCs w:val="18"/>
      </w:rPr>
      <w:t>29</w:t>
    </w:r>
    <w:r>
      <w:rPr>
        <w:sz w:val="18"/>
        <w:szCs w:val="18"/>
      </w:rPr>
      <w:t xml:space="preserve"> – </w:t>
    </w:r>
    <w:r w:rsidR="00266FAA">
      <w:rPr>
        <w:sz w:val="18"/>
        <w:szCs w:val="18"/>
      </w:rPr>
      <w:t>1401 København K</w:t>
    </w:r>
    <w:r>
      <w:rPr>
        <w:sz w:val="18"/>
        <w:szCs w:val="18"/>
      </w:rPr>
      <w:t xml:space="preserve"> – Telefon 33 55 82 82</w:t>
    </w:r>
    <w:r>
      <w:t xml:space="preserve"> </w:t>
    </w:r>
    <w:r>
      <w:rPr>
        <w:sz w:val="18"/>
        <w:szCs w:val="18"/>
      </w:rPr>
      <w:t>– Fax 33 55 82 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A2A71" w14:textId="77777777" w:rsidR="009B5B75" w:rsidRDefault="009B5B75" w:rsidP="00AC2FF1">
      <w:pPr>
        <w:spacing w:line="240" w:lineRule="auto"/>
      </w:pPr>
      <w:r>
        <w:separator/>
      </w:r>
    </w:p>
  </w:footnote>
  <w:footnote w:type="continuationSeparator" w:id="0">
    <w:p w14:paraId="5D60B008" w14:textId="77777777" w:rsidR="009B5B75" w:rsidRDefault="009B5B75" w:rsidP="00AC2F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3986E" w14:textId="77777777" w:rsidR="005448E2" w:rsidRDefault="008A031E" w:rsidP="00AC2FF1">
    <w:pPr>
      <w:pStyle w:val="Sidehoved"/>
      <w:jc w:val="center"/>
    </w:pPr>
    <w:r>
      <w:rPr>
        <w:noProof/>
        <w:lang w:eastAsia="da-DK"/>
      </w:rPr>
      <w:drawing>
        <wp:inline distT="0" distB="0" distL="0" distR="0" wp14:anchorId="27C29DF2" wp14:editId="70322481">
          <wp:extent cx="1603375" cy="506095"/>
          <wp:effectExtent l="0" t="0" r="0" b="0"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337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E2F18"/>
    <w:multiLevelType w:val="hybridMultilevel"/>
    <w:tmpl w:val="7D70B924"/>
    <w:lvl w:ilvl="0" w:tplc="104C86F4">
      <w:start w:val="1"/>
      <w:numFmt w:val="bullet"/>
      <w:pStyle w:val="Listeafsnit"/>
      <w:lvlText w:val=""/>
      <w:lvlJc w:val="left"/>
      <w:pPr>
        <w:ind w:left="2024" w:hanging="360"/>
      </w:pPr>
      <w:rPr>
        <w:rFonts w:ascii="Symbol" w:hAnsi="Symbol" w:hint="default"/>
        <w:color w:val="990000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" w15:restartNumberingAfterBreak="0">
    <w:nsid w:val="0F9274FD"/>
    <w:multiLevelType w:val="hybridMultilevel"/>
    <w:tmpl w:val="9BFA6AB2"/>
    <w:lvl w:ilvl="0" w:tplc="155818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9000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7C0FDA"/>
    <w:multiLevelType w:val="hybridMultilevel"/>
    <w:tmpl w:val="C54210B4"/>
    <w:lvl w:ilvl="0" w:tplc="155818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9000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13685E"/>
    <w:multiLevelType w:val="hybridMultilevel"/>
    <w:tmpl w:val="DC8ED9B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050427"/>
    <w:multiLevelType w:val="hybridMultilevel"/>
    <w:tmpl w:val="ED40315A"/>
    <w:lvl w:ilvl="0" w:tplc="A6CA2E46">
      <w:start w:val="1"/>
      <w:numFmt w:val="lowerLetter"/>
      <w:pStyle w:val="ListeBogstaver"/>
      <w:lvlText w:val="%1)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8379B6"/>
    <w:multiLevelType w:val="hybridMultilevel"/>
    <w:tmpl w:val="2362A9D2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E114FD"/>
    <w:multiLevelType w:val="hybridMultilevel"/>
    <w:tmpl w:val="178A4D90"/>
    <w:lvl w:ilvl="0" w:tplc="FB3E3660">
      <w:start w:val="1"/>
      <w:numFmt w:val="decimal"/>
      <w:pStyle w:val="Underoverskrift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71256F"/>
    <w:multiLevelType w:val="hybridMultilevel"/>
    <w:tmpl w:val="48DEDFBE"/>
    <w:lvl w:ilvl="0" w:tplc="F9F853DE">
      <w:start w:val="1"/>
      <w:numFmt w:val="decimal"/>
      <w:pStyle w:val="ListeT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9E50A6"/>
    <w:multiLevelType w:val="hybridMultilevel"/>
    <w:tmpl w:val="5F304D1A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DE79FD"/>
    <w:multiLevelType w:val="hybridMultilevel"/>
    <w:tmpl w:val="44E090FA"/>
    <w:lvl w:ilvl="0" w:tplc="65B66BDA">
      <w:start w:val="1"/>
      <w:numFmt w:val="bullet"/>
      <w:lvlText w:val=""/>
      <w:lvlJc w:val="left"/>
      <w:pPr>
        <w:ind w:left="154" w:hanging="426"/>
      </w:pPr>
      <w:rPr>
        <w:rFonts w:ascii="Symbol" w:eastAsia="Symbol" w:hAnsi="Symbol" w:hint="default"/>
        <w:color w:val="990000"/>
        <w:w w:val="99"/>
        <w:sz w:val="21"/>
        <w:szCs w:val="21"/>
      </w:rPr>
    </w:lvl>
    <w:lvl w:ilvl="1" w:tplc="EAC41248">
      <w:start w:val="1"/>
      <w:numFmt w:val="bullet"/>
      <w:lvlText w:val="•"/>
      <w:lvlJc w:val="left"/>
      <w:pPr>
        <w:ind w:left="1074" w:hanging="426"/>
      </w:pPr>
      <w:rPr>
        <w:rFonts w:hint="default"/>
      </w:rPr>
    </w:lvl>
    <w:lvl w:ilvl="2" w:tplc="9A6E0C2A">
      <w:start w:val="1"/>
      <w:numFmt w:val="bullet"/>
      <w:lvlText w:val="•"/>
      <w:lvlJc w:val="left"/>
      <w:pPr>
        <w:ind w:left="1989" w:hanging="426"/>
      </w:pPr>
      <w:rPr>
        <w:rFonts w:hint="default"/>
      </w:rPr>
    </w:lvl>
    <w:lvl w:ilvl="3" w:tplc="2710D5A8">
      <w:start w:val="1"/>
      <w:numFmt w:val="bullet"/>
      <w:lvlText w:val="•"/>
      <w:lvlJc w:val="left"/>
      <w:pPr>
        <w:ind w:left="2903" w:hanging="426"/>
      </w:pPr>
      <w:rPr>
        <w:rFonts w:hint="default"/>
      </w:rPr>
    </w:lvl>
    <w:lvl w:ilvl="4" w:tplc="368ACBF4">
      <w:start w:val="1"/>
      <w:numFmt w:val="bullet"/>
      <w:lvlText w:val="•"/>
      <w:lvlJc w:val="left"/>
      <w:pPr>
        <w:ind w:left="3818" w:hanging="426"/>
      </w:pPr>
      <w:rPr>
        <w:rFonts w:hint="default"/>
      </w:rPr>
    </w:lvl>
    <w:lvl w:ilvl="5" w:tplc="F73AF41C">
      <w:start w:val="1"/>
      <w:numFmt w:val="bullet"/>
      <w:lvlText w:val="•"/>
      <w:lvlJc w:val="left"/>
      <w:pPr>
        <w:ind w:left="4733" w:hanging="426"/>
      </w:pPr>
      <w:rPr>
        <w:rFonts w:hint="default"/>
      </w:rPr>
    </w:lvl>
    <w:lvl w:ilvl="6" w:tplc="5FA2396A">
      <w:start w:val="1"/>
      <w:numFmt w:val="bullet"/>
      <w:lvlText w:val="•"/>
      <w:lvlJc w:val="left"/>
      <w:pPr>
        <w:ind w:left="5647" w:hanging="426"/>
      </w:pPr>
      <w:rPr>
        <w:rFonts w:hint="default"/>
      </w:rPr>
    </w:lvl>
    <w:lvl w:ilvl="7" w:tplc="0358C698">
      <w:start w:val="1"/>
      <w:numFmt w:val="bullet"/>
      <w:lvlText w:val="•"/>
      <w:lvlJc w:val="left"/>
      <w:pPr>
        <w:ind w:left="6562" w:hanging="426"/>
      </w:pPr>
      <w:rPr>
        <w:rFonts w:hint="default"/>
      </w:rPr>
    </w:lvl>
    <w:lvl w:ilvl="8" w:tplc="59A45B38">
      <w:start w:val="1"/>
      <w:numFmt w:val="bullet"/>
      <w:lvlText w:val="•"/>
      <w:lvlJc w:val="left"/>
      <w:pPr>
        <w:ind w:left="7476" w:hanging="426"/>
      </w:pPr>
      <w:rPr>
        <w:rFonts w:hint="default"/>
      </w:rPr>
    </w:lvl>
  </w:abstractNum>
  <w:abstractNum w:abstractNumId="10" w15:restartNumberingAfterBreak="0">
    <w:nsid w:val="7C505FB7"/>
    <w:multiLevelType w:val="hybridMultilevel"/>
    <w:tmpl w:val="77F203C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9808565">
    <w:abstractNumId w:val="3"/>
  </w:num>
  <w:num w:numId="2" w16cid:durableId="1604649400">
    <w:abstractNumId w:val="2"/>
  </w:num>
  <w:num w:numId="3" w16cid:durableId="1194421390">
    <w:abstractNumId w:val="5"/>
  </w:num>
  <w:num w:numId="4" w16cid:durableId="788010697">
    <w:abstractNumId w:val="1"/>
  </w:num>
  <w:num w:numId="5" w16cid:durableId="2006543300">
    <w:abstractNumId w:val="0"/>
  </w:num>
  <w:num w:numId="6" w16cid:durableId="1574587174">
    <w:abstractNumId w:val="8"/>
  </w:num>
  <w:num w:numId="7" w16cid:durableId="936596395">
    <w:abstractNumId w:val="6"/>
  </w:num>
  <w:num w:numId="8" w16cid:durableId="1211720743">
    <w:abstractNumId w:val="7"/>
  </w:num>
  <w:num w:numId="9" w16cid:durableId="1201361373">
    <w:abstractNumId w:val="4"/>
  </w:num>
  <w:num w:numId="10" w16cid:durableId="554049033">
    <w:abstractNumId w:val="9"/>
  </w:num>
  <w:num w:numId="11" w16cid:durableId="2229116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attachedTemplate r:id="rId1"/>
  <w:defaultTabStop w:val="1304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AMO_XmlVersion" w:val="Empty"/>
    <w:docVar w:name="Overskrift" w:val="Empty"/>
    <w:docVar w:name="Start" w:val="Empty"/>
  </w:docVars>
  <w:rsids>
    <w:rsidRoot w:val="00CB712B"/>
    <w:rsid w:val="0004055A"/>
    <w:rsid w:val="00040FB9"/>
    <w:rsid w:val="00084C5D"/>
    <w:rsid w:val="000954B3"/>
    <w:rsid w:val="000A78CC"/>
    <w:rsid w:val="001038BA"/>
    <w:rsid w:val="00161A5B"/>
    <w:rsid w:val="00161F22"/>
    <w:rsid w:val="00162184"/>
    <w:rsid w:val="001C3F41"/>
    <w:rsid w:val="001D5C1A"/>
    <w:rsid w:val="00254020"/>
    <w:rsid w:val="00266FAA"/>
    <w:rsid w:val="002B5262"/>
    <w:rsid w:val="002B6304"/>
    <w:rsid w:val="002B6A2D"/>
    <w:rsid w:val="002F77CE"/>
    <w:rsid w:val="00312491"/>
    <w:rsid w:val="003141AD"/>
    <w:rsid w:val="00380858"/>
    <w:rsid w:val="00393E06"/>
    <w:rsid w:val="003960A9"/>
    <w:rsid w:val="003A52DD"/>
    <w:rsid w:val="003B7F5E"/>
    <w:rsid w:val="003D6CF9"/>
    <w:rsid w:val="003E7091"/>
    <w:rsid w:val="003F6206"/>
    <w:rsid w:val="0042004D"/>
    <w:rsid w:val="0043147C"/>
    <w:rsid w:val="004443B1"/>
    <w:rsid w:val="00453B65"/>
    <w:rsid w:val="00480894"/>
    <w:rsid w:val="0049018D"/>
    <w:rsid w:val="004A4A91"/>
    <w:rsid w:val="005277B0"/>
    <w:rsid w:val="00531FC3"/>
    <w:rsid w:val="005448E2"/>
    <w:rsid w:val="00562F23"/>
    <w:rsid w:val="005A4C97"/>
    <w:rsid w:val="005B1B1A"/>
    <w:rsid w:val="006040C9"/>
    <w:rsid w:val="0060635D"/>
    <w:rsid w:val="00662C3D"/>
    <w:rsid w:val="006653FF"/>
    <w:rsid w:val="006A331C"/>
    <w:rsid w:val="006B7C0B"/>
    <w:rsid w:val="006C0D49"/>
    <w:rsid w:val="006D1E2F"/>
    <w:rsid w:val="006E5F6B"/>
    <w:rsid w:val="006F09BC"/>
    <w:rsid w:val="0070167F"/>
    <w:rsid w:val="00710567"/>
    <w:rsid w:val="00761978"/>
    <w:rsid w:val="00763589"/>
    <w:rsid w:val="00792335"/>
    <w:rsid w:val="007A47A7"/>
    <w:rsid w:val="007B2787"/>
    <w:rsid w:val="007E75F4"/>
    <w:rsid w:val="0083530E"/>
    <w:rsid w:val="008370FB"/>
    <w:rsid w:val="0084362D"/>
    <w:rsid w:val="00845C75"/>
    <w:rsid w:val="008650A2"/>
    <w:rsid w:val="00872C71"/>
    <w:rsid w:val="00883BE1"/>
    <w:rsid w:val="008A031E"/>
    <w:rsid w:val="008A1574"/>
    <w:rsid w:val="008E5098"/>
    <w:rsid w:val="00914E40"/>
    <w:rsid w:val="00936BC5"/>
    <w:rsid w:val="009B5B75"/>
    <w:rsid w:val="009C40B1"/>
    <w:rsid w:val="009F71AB"/>
    <w:rsid w:val="009F7789"/>
    <w:rsid w:val="00A130D5"/>
    <w:rsid w:val="00A34C74"/>
    <w:rsid w:val="00A42DF3"/>
    <w:rsid w:val="00A5686C"/>
    <w:rsid w:val="00A77412"/>
    <w:rsid w:val="00AA5453"/>
    <w:rsid w:val="00AB36D2"/>
    <w:rsid w:val="00AC1FD6"/>
    <w:rsid w:val="00AC2FF1"/>
    <w:rsid w:val="00AC4C3D"/>
    <w:rsid w:val="00B0308B"/>
    <w:rsid w:val="00B1552E"/>
    <w:rsid w:val="00B448D7"/>
    <w:rsid w:val="00B673AE"/>
    <w:rsid w:val="00BF7FDE"/>
    <w:rsid w:val="00C32E7C"/>
    <w:rsid w:val="00C602DB"/>
    <w:rsid w:val="00CB6F7B"/>
    <w:rsid w:val="00CB712B"/>
    <w:rsid w:val="00D419AA"/>
    <w:rsid w:val="00D469E6"/>
    <w:rsid w:val="00D55FD1"/>
    <w:rsid w:val="00DA09DA"/>
    <w:rsid w:val="00DA1340"/>
    <w:rsid w:val="00DB6A11"/>
    <w:rsid w:val="00DD579A"/>
    <w:rsid w:val="00DE764E"/>
    <w:rsid w:val="00E278A9"/>
    <w:rsid w:val="00E45CAD"/>
    <w:rsid w:val="00E5487C"/>
    <w:rsid w:val="00E7773E"/>
    <w:rsid w:val="00EF0187"/>
    <w:rsid w:val="00F305A3"/>
    <w:rsid w:val="00F51AEB"/>
    <w:rsid w:val="00F56FE8"/>
    <w:rsid w:val="00F90506"/>
    <w:rsid w:val="00FD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A45C31"/>
  <w15:docId w15:val="{1F619D4C-BA7D-470D-B80B-C6FA6589E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0858"/>
    <w:pPr>
      <w:spacing w:after="140" w:line="280" w:lineRule="exact"/>
      <w:jc w:val="both"/>
    </w:pPr>
    <w:rPr>
      <w:rFonts w:ascii="Arial" w:hAnsi="Arial"/>
      <w:sz w:val="21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DD579A"/>
    <w:pPr>
      <w:keepNext/>
      <w:spacing w:line="440" w:lineRule="exact"/>
      <w:outlineLvl w:val="0"/>
    </w:pPr>
    <w:rPr>
      <w:rFonts w:ascii="Constantia" w:eastAsiaTheme="majorEastAsia" w:hAnsi="Constantia" w:cstheme="majorBidi"/>
      <w:b/>
      <w:bCs/>
      <w:color w:val="990000"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nhideWhenUsed/>
    <w:qFormat/>
    <w:rsid w:val="005448E2"/>
    <w:pPr>
      <w:keepNext/>
      <w:spacing w:before="280"/>
      <w:outlineLvl w:val="1"/>
    </w:pPr>
    <w:rPr>
      <w:rFonts w:ascii="Constantia" w:eastAsiaTheme="majorEastAsia" w:hAnsi="Constantia" w:cstheme="majorBidi"/>
      <w:b/>
      <w:bCs/>
      <w:iCs/>
      <w:sz w:val="22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084C5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AC2FF1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C2FF1"/>
  </w:style>
  <w:style w:type="paragraph" w:styleId="Sidefod">
    <w:name w:val="footer"/>
    <w:basedOn w:val="Normal"/>
    <w:link w:val="SidefodTegn"/>
    <w:uiPriority w:val="4"/>
    <w:unhideWhenUsed/>
    <w:rsid w:val="003960A9"/>
    <w:pPr>
      <w:tabs>
        <w:tab w:val="center" w:pos="4819"/>
        <w:tab w:val="right" w:pos="9638"/>
      </w:tabs>
      <w:spacing w:line="360" w:lineRule="auto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4"/>
    <w:rsid w:val="00380858"/>
    <w:rPr>
      <w:rFonts w:ascii="Arial" w:hAnsi="Arial"/>
      <w:sz w:val="16"/>
      <w:szCs w:val="22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C2F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C2FF1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rsid w:val="00380858"/>
    <w:rPr>
      <w:rFonts w:ascii="Constantia" w:eastAsiaTheme="majorEastAsia" w:hAnsi="Constantia" w:cstheme="majorBidi"/>
      <w:b/>
      <w:bCs/>
      <w:color w:val="990000"/>
      <w:kern w:val="32"/>
      <w:sz w:val="32"/>
      <w:szCs w:val="32"/>
      <w:lang w:eastAsia="en-US"/>
    </w:rPr>
  </w:style>
  <w:style w:type="character" w:customStyle="1" w:styleId="Overskrift2Tegn">
    <w:name w:val="Overskrift 2 Tegn"/>
    <w:basedOn w:val="Standardskrifttypeiafsnit"/>
    <w:link w:val="Overskrift2"/>
    <w:rsid w:val="005448E2"/>
    <w:rPr>
      <w:rFonts w:ascii="Constantia" w:eastAsiaTheme="majorEastAsia" w:hAnsi="Constantia" w:cstheme="majorBidi"/>
      <w:b/>
      <w:bCs/>
      <w:iCs/>
      <w:sz w:val="22"/>
      <w:szCs w:val="28"/>
      <w:lang w:eastAsia="en-US"/>
    </w:rPr>
  </w:style>
  <w:style w:type="paragraph" w:styleId="Listeafsnit">
    <w:name w:val="List Paragraph"/>
    <w:basedOn w:val="Normal"/>
    <w:uiPriority w:val="1"/>
    <w:qFormat/>
    <w:rsid w:val="003960A9"/>
    <w:pPr>
      <w:numPr>
        <w:numId w:val="5"/>
      </w:numPr>
      <w:ind w:left="426" w:hanging="426"/>
    </w:pPr>
  </w:style>
  <w:style w:type="character" w:styleId="Pladsholdertekst">
    <w:name w:val="Placeholder Text"/>
    <w:basedOn w:val="Standardskrifttypeiafsnit"/>
    <w:uiPriority w:val="99"/>
    <w:semiHidden/>
    <w:rsid w:val="006040C9"/>
    <w:rPr>
      <w:color w:val="808080"/>
    </w:rPr>
  </w:style>
  <w:style w:type="paragraph" w:customStyle="1" w:styleId="Underoverskrift">
    <w:name w:val="Underoverskrift"/>
    <w:basedOn w:val="Normal"/>
    <w:next w:val="Normal"/>
    <w:qFormat/>
    <w:rsid w:val="005448E2"/>
    <w:pPr>
      <w:numPr>
        <w:numId w:val="7"/>
      </w:numPr>
      <w:spacing w:before="280"/>
      <w:ind w:left="425" w:hanging="425"/>
    </w:pPr>
    <w:rPr>
      <w:rFonts w:ascii="Constantia" w:hAnsi="Constantia" w:cs="Arial"/>
      <w:b/>
      <w:sz w:val="22"/>
      <w:szCs w:val="21"/>
    </w:rPr>
  </w:style>
  <w:style w:type="paragraph" w:styleId="Fodnotetekst">
    <w:name w:val="footnote text"/>
    <w:basedOn w:val="Normal"/>
    <w:link w:val="FodnotetekstTegn"/>
    <w:uiPriority w:val="99"/>
    <w:qFormat/>
    <w:rsid w:val="00DD579A"/>
    <w:pPr>
      <w:spacing w:after="0" w:line="240" w:lineRule="auto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DD579A"/>
    <w:rPr>
      <w:rFonts w:ascii="Arial" w:hAnsi="Arial"/>
      <w:sz w:val="16"/>
      <w:lang w:eastAsia="en-US"/>
    </w:rPr>
  </w:style>
  <w:style w:type="character" w:styleId="Fodnotehenvisning">
    <w:name w:val="footnote reference"/>
    <w:basedOn w:val="Standardskrifttypeiafsnit"/>
    <w:uiPriority w:val="99"/>
    <w:semiHidden/>
    <w:unhideWhenUsed/>
    <w:rsid w:val="00DD579A"/>
    <w:rPr>
      <w:vertAlign w:val="superscript"/>
    </w:rPr>
  </w:style>
  <w:style w:type="paragraph" w:customStyle="1" w:styleId="ListeTal">
    <w:name w:val="ListeTal"/>
    <w:basedOn w:val="Normal"/>
    <w:uiPriority w:val="3"/>
    <w:qFormat/>
    <w:rsid w:val="00380858"/>
    <w:pPr>
      <w:numPr>
        <w:numId w:val="8"/>
      </w:numPr>
      <w:ind w:left="426" w:hanging="426"/>
    </w:pPr>
    <w:rPr>
      <w:rFonts w:cs="Arial"/>
      <w:szCs w:val="21"/>
    </w:rPr>
  </w:style>
  <w:style w:type="paragraph" w:customStyle="1" w:styleId="ListeBogstaver">
    <w:name w:val="ListeBogstaver"/>
    <w:basedOn w:val="Normal"/>
    <w:uiPriority w:val="3"/>
    <w:qFormat/>
    <w:rsid w:val="008650A2"/>
    <w:pPr>
      <w:numPr>
        <w:numId w:val="9"/>
      </w:numPr>
      <w:ind w:left="425" w:hanging="425"/>
    </w:pPr>
  </w:style>
  <w:style w:type="paragraph" w:styleId="Brdtekst">
    <w:name w:val="Body Text"/>
    <w:basedOn w:val="Normal"/>
    <w:link w:val="BrdtekstTegn"/>
    <w:uiPriority w:val="1"/>
    <w:qFormat/>
    <w:rsid w:val="00CB712B"/>
    <w:pPr>
      <w:widowControl w:val="0"/>
      <w:spacing w:before="22" w:after="0" w:line="240" w:lineRule="auto"/>
      <w:ind w:left="540" w:hanging="426"/>
      <w:jc w:val="left"/>
    </w:pPr>
    <w:rPr>
      <w:rFonts w:eastAsia="Arial" w:cstheme="minorBidi"/>
      <w:szCs w:val="21"/>
      <w:lang w:val="en-US"/>
    </w:rPr>
  </w:style>
  <w:style w:type="character" w:customStyle="1" w:styleId="BrdtekstTegn">
    <w:name w:val="Brødtekst Tegn"/>
    <w:basedOn w:val="Standardskrifttypeiafsnit"/>
    <w:link w:val="Brdtekst"/>
    <w:uiPriority w:val="1"/>
    <w:rsid w:val="00CB712B"/>
    <w:rPr>
      <w:rFonts w:ascii="Arial" w:eastAsia="Arial" w:hAnsi="Arial" w:cstheme="minorBidi"/>
      <w:sz w:val="21"/>
      <w:szCs w:val="21"/>
      <w:lang w:val="en-US" w:eastAsia="en-US"/>
    </w:rPr>
  </w:style>
  <w:style w:type="paragraph" w:customStyle="1" w:styleId="Default">
    <w:name w:val="Default"/>
    <w:rsid w:val="005B1B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kabeloner\FT-Skabelon\Skema.dotm" TargetMode="External"/></Relationships>
</file>

<file path=word/theme/theme1.xml><?xml version="1.0" encoding="utf-8"?>
<a:theme xmlns:a="http://schemas.openxmlformats.org/drawingml/2006/main" name="Kontortema">
  <a:themeElements>
    <a:clrScheme name="FT farver">
      <a:dk1>
        <a:sysClr val="windowText" lastClr="000000"/>
      </a:dk1>
      <a:lt1>
        <a:sysClr val="window" lastClr="FFFFFF"/>
      </a:lt1>
      <a:dk2>
        <a:srgbClr val="5F1A15"/>
      </a:dk2>
      <a:lt2>
        <a:srgbClr val="F0E1CD"/>
      </a:lt2>
      <a:accent1>
        <a:srgbClr val="990000"/>
      </a:accent1>
      <a:accent2>
        <a:srgbClr val="FF9933"/>
      </a:accent2>
      <a:accent3>
        <a:srgbClr val="00505F"/>
      </a:accent3>
      <a:accent4>
        <a:srgbClr val="82A0AA"/>
      </a:accent4>
      <a:accent5>
        <a:srgbClr val="1E5F32"/>
      </a:accent5>
      <a:accent6>
        <a:srgbClr val="9BD2AA"/>
      </a:accent6>
      <a:hlink>
        <a:srgbClr val="990000"/>
      </a:hlink>
      <a:folHlink>
        <a:srgbClr val="FF9933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201B6-25B1-4F6C-880F-6680A3C95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Skema.dotm</Template>
  <TotalTime>1</TotalTime>
  <Pages>3</Pages>
  <Words>271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Finanstilsynet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Cecilie Jessen (FT)</dc:creator>
  <cp:keywords/>
  <dc:description/>
  <cp:lastModifiedBy>Cecilie Jessen (FT)</cp:lastModifiedBy>
  <cp:revision>1</cp:revision>
  <cp:lastPrinted>2022-03-30T13:25:00Z</cp:lastPrinted>
  <dcterms:created xsi:type="dcterms:W3CDTF">2024-05-31T12:23:00Z</dcterms:created>
  <dcterms:modified xsi:type="dcterms:W3CDTF">2024-05-31T12:24:00Z</dcterms:modified>
</cp:coreProperties>
</file>